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666"/>
        <w:tblW w:w="136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97"/>
      </w:tblGrid>
      <w:tr w:rsidR="001C500A" w:rsidRPr="009B1854" w14:paraId="74DE5D0E" w14:textId="77777777" w:rsidTr="000573BB">
        <w:tc>
          <w:tcPr>
            <w:tcW w:w="13697" w:type="dxa"/>
          </w:tcPr>
          <w:p w14:paraId="1ED53852" w14:textId="77777777" w:rsidR="001C500A" w:rsidRPr="004435BD" w:rsidRDefault="001C500A" w:rsidP="00C57B40">
            <w:pPr>
              <w:spacing w:before="240" w:after="240"/>
              <w:jc w:val="center"/>
              <w:rPr>
                <w:rFonts w:ascii="Arial" w:hAnsi="Arial" w:cs="Arial"/>
                <w:b/>
                <w:color w:val="2F5496" w:themeColor="accent1" w:themeShade="BF"/>
                <w:sz w:val="32"/>
                <w:szCs w:val="32"/>
              </w:rPr>
            </w:pPr>
          </w:p>
        </w:tc>
      </w:tr>
      <w:tr w:rsidR="001C500A" w:rsidRPr="009B1854" w14:paraId="1E4149D8" w14:textId="77777777" w:rsidTr="000573BB">
        <w:tc>
          <w:tcPr>
            <w:tcW w:w="13697" w:type="dxa"/>
          </w:tcPr>
          <w:p w14:paraId="5BFB5939" w14:textId="71BF6A3A" w:rsidR="00232D2A" w:rsidRDefault="00C65F30" w:rsidP="00C57B40">
            <w:pPr>
              <w:spacing w:before="240" w:after="240"/>
              <w:jc w:val="center"/>
              <w:rPr>
                <w:rFonts w:ascii="Arial" w:hAnsi="Arial" w:cs="Arial"/>
                <w:b/>
                <w:color w:val="2F5496" w:themeColor="accent1" w:themeShade="BF"/>
                <w:sz w:val="32"/>
                <w:szCs w:val="32"/>
              </w:rPr>
            </w:pPr>
            <w:r>
              <w:rPr>
                <w:rFonts w:ascii="Arial" w:hAnsi="Arial" w:cs="Arial"/>
                <w:b/>
                <w:color w:val="2F5496" w:themeColor="accent1" w:themeShade="BF"/>
                <w:sz w:val="32"/>
                <w:szCs w:val="32"/>
              </w:rPr>
              <w:t>Literature Reviews 3</w:t>
            </w:r>
            <w:r w:rsidR="00232D2A">
              <w:rPr>
                <w:rFonts w:ascii="Arial" w:hAnsi="Arial" w:cs="Arial"/>
                <w:b/>
                <w:color w:val="2F5496" w:themeColor="accent1" w:themeShade="BF"/>
                <w:sz w:val="32"/>
                <w:szCs w:val="32"/>
              </w:rPr>
              <w:t xml:space="preserve">: </w:t>
            </w:r>
            <w:r w:rsidR="00026098">
              <w:rPr>
                <w:rFonts w:ascii="Arial" w:hAnsi="Arial" w:cs="Arial"/>
                <w:b/>
                <w:color w:val="2F5496" w:themeColor="accent1" w:themeShade="BF"/>
                <w:sz w:val="32"/>
                <w:szCs w:val="32"/>
              </w:rPr>
              <w:t xml:space="preserve">Recognising Quality </w:t>
            </w:r>
            <w:r w:rsidR="00026098" w:rsidRPr="00026098">
              <w:rPr>
                <w:rFonts w:ascii="Arial" w:hAnsi="Arial" w:cs="Arial"/>
                <w:b/>
                <w:color w:val="2F5496" w:themeColor="accent1" w:themeShade="BF"/>
                <w:sz w:val="32"/>
                <w:szCs w:val="32"/>
              </w:rPr>
              <w:t>Literature Reviews</w:t>
            </w:r>
          </w:p>
          <w:tbl>
            <w:tblPr>
              <w:tblStyle w:val="TableGrid"/>
              <w:tblW w:w="13477" w:type="dxa"/>
              <w:tblLook w:val="04A0" w:firstRow="1" w:lastRow="0" w:firstColumn="1" w:lastColumn="0" w:noHBand="0" w:noVBand="1"/>
            </w:tblPr>
            <w:tblGrid>
              <w:gridCol w:w="1419"/>
              <w:gridCol w:w="10777"/>
              <w:gridCol w:w="1281"/>
            </w:tblGrid>
            <w:tr w:rsidR="008E77D8" w14:paraId="5DCA04C5" w14:textId="77777777" w:rsidTr="00C57B40">
              <w:tc>
                <w:tcPr>
                  <w:tcW w:w="1419" w:type="dxa"/>
                </w:tcPr>
                <w:p w14:paraId="3C64A6C9" w14:textId="753DA6A8" w:rsidR="008E77D8" w:rsidRPr="00B41658" w:rsidRDefault="008E77D8" w:rsidP="00C6753A">
                  <w:pPr>
                    <w:framePr w:hSpace="180" w:wrap="around" w:vAnchor="page" w:hAnchor="margin" w:y="1666"/>
                    <w:ind w:left="164"/>
                    <w:jc w:val="center"/>
                    <w:rPr>
                      <w:b/>
                      <w:bCs/>
                    </w:rPr>
                  </w:pPr>
                  <w:r>
                    <w:rPr>
                      <w:b/>
                      <w:bCs/>
                    </w:rPr>
                    <w:t>Example Number</w:t>
                  </w:r>
                </w:p>
              </w:tc>
              <w:tc>
                <w:tcPr>
                  <w:tcW w:w="10777" w:type="dxa"/>
                </w:tcPr>
                <w:p w14:paraId="3FCE07A0" w14:textId="0F5B89EC" w:rsidR="008E77D8" w:rsidRPr="00B41658" w:rsidRDefault="008E77D8" w:rsidP="00C6753A">
                  <w:pPr>
                    <w:framePr w:hSpace="180" w:wrap="around" w:vAnchor="page" w:hAnchor="margin" w:y="1666"/>
                    <w:jc w:val="center"/>
                    <w:rPr>
                      <w:b/>
                      <w:bCs/>
                    </w:rPr>
                  </w:pPr>
                  <w:r w:rsidRPr="00B41658">
                    <w:rPr>
                      <w:b/>
                      <w:bCs/>
                    </w:rPr>
                    <w:t>Example text</w:t>
                  </w:r>
                </w:p>
              </w:tc>
              <w:tc>
                <w:tcPr>
                  <w:tcW w:w="1281" w:type="dxa"/>
                </w:tcPr>
                <w:p w14:paraId="5E076C13" w14:textId="14FCAB38" w:rsidR="008E77D8" w:rsidRPr="00B41658" w:rsidRDefault="00C6753A" w:rsidP="000930EF">
                  <w:pPr>
                    <w:framePr w:hSpace="180" w:wrap="around" w:vAnchor="page" w:hAnchor="margin" w:y="1666"/>
                    <w:jc w:val="center"/>
                    <w:rPr>
                      <w:b/>
                      <w:bCs/>
                    </w:rPr>
                  </w:pPr>
                  <w:r>
                    <w:rPr>
                      <w:b/>
                      <w:bCs/>
                    </w:rPr>
                    <w:t>Q</w:t>
                  </w:r>
                  <w:r w:rsidR="000930EF">
                    <w:rPr>
                      <w:b/>
                      <w:bCs/>
                    </w:rPr>
                    <w:t>uality</w:t>
                  </w:r>
                  <w:r>
                    <w:rPr>
                      <w:b/>
                      <w:bCs/>
                    </w:rPr>
                    <w:t xml:space="preserve"> or weaker</w:t>
                  </w:r>
                  <w:r w:rsidR="000930EF">
                    <w:rPr>
                      <w:b/>
                      <w:bCs/>
                    </w:rPr>
                    <w:t xml:space="preserve"> example</w:t>
                  </w:r>
                  <w:bookmarkStart w:id="0" w:name="_GoBack"/>
                  <w:bookmarkEnd w:id="0"/>
                  <w:r>
                    <w:rPr>
                      <w:b/>
                      <w:bCs/>
                    </w:rPr>
                    <w:t>?</w:t>
                  </w:r>
                </w:p>
              </w:tc>
            </w:tr>
            <w:tr w:rsidR="008E77D8" w14:paraId="65E170EC" w14:textId="77777777" w:rsidTr="00C57B40">
              <w:tc>
                <w:tcPr>
                  <w:tcW w:w="1419" w:type="dxa"/>
                </w:tcPr>
                <w:p w14:paraId="4D3515E9" w14:textId="530A8493" w:rsidR="008E77D8" w:rsidRPr="008E77D8" w:rsidRDefault="008E77D8" w:rsidP="00C6753A">
                  <w:pPr>
                    <w:framePr w:hSpace="180" w:wrap="around" w:vAnchor="page" w:hAnchor="margin" w:y="1666"/>
                    <w:spacing w:line="360" w:lineRule="auto"/>
                    <w:jc w:val="center"/>
                    <w:rPr>
                      <w:b/>
                      <w:bCs/>
                      <w:sz w:val="28"/>
                      <w:szCs w:val="28"/>
                    </w:rPr>
                  </w:pPr>
                  <w:r w:rsidRPr="008E77D8">
                    <w:rPr>
                      <w:b/>
                      <w:bCs/>
                      <w:sz w:val="28"/>
                      <w:szCs w:val="28"/>
                    </w:rPr>
                    <w:t>1</w:t>
                  </w:r>
                </w:p>
              </w:tc>
              <w:tc>
                <w:tcPr>
                  <w:tcW w:w="10777" w:type="dxa"/>
                </w:tcPr>
                <w:p w14:paraId="2A25DAAD" w14:textId="3462DBF6" w:rsidR="00625BE9" w:rsidRPr="00B41658" w:rsidRDefault="00625BE9" w:rsidP="00C6753A">
                  <w:pPr>
                    <w:framePr w:hSpace="180" w:wrap="around" w:vAnchor="page" w:hAnchor="margin" w:y="1666"/>
                    <w:spacing w:line="360" w:lineRule="auto"/>
                    <w:jc w:val="both"/>
                    <w:rPr>
                      <w:sz w:val="28"/>
                      <w:szCs w:val="28"/>
                    </w:rPr>
                  </w:pPr>
                  <w:r w:rsidRPr="00625BE9">
                    <w:rPr>
                      <w:sz w:val="28"/>
                      <w:szCs w:val="28"/>
                    </w:rPr>
                    <w:t>As an emerging resource, it is important that we gain a proper understanding of what does and does not work when presenting historic documents online, whether for an academic or general audience. Indeed, understanding the needs of the user is paramount to web usability in general. As such, the UK government has placed the concept of ‘understanding user needs’ and ‘what that means for the design of the service’ as the first point in its 18-point Digital Service Standard guidelines. This literature review surveys the existing research on online manuscript collections, first to explore current observations of good practice and, second, to identify criteria that will be used in the evaluation of the chosen online archive databases for this project.</w:t>
                  </w:r>
                </w:p>
              </w:tc>
              <w:tc>
                <w:tcPr>
                  <w:tcW w:w="1281" w:type="dxa"/>
                </w:tcPr>
                <w:p w14:paraId="0942E1EA" w14:textId="77777777" w:rsidR="008E77D8" w:rsidRDefault="008E77D8" w:rsidP="00C6753A">
                  <w:pPr>
                    <w:framePr w:hSpace="180" w:wrap="around" w:vAnchor="page" w:hAnchor="margin" w:y="1666"/>
                    <w:ind w:left="240"/>
                    <w:jc w:val="center"/>
                  </w:pPr>
                </w:p>
              </w:tc>
            </w:tr>
            <w:tr w:rsidR="008E77D8" w14:paraId="31106636" w14:textId="77777777" w:rsidTr="00C57B40">
              <w:tc>
                <w:tcPr>
                  <w:tcW w:w="1419" w:type="dxa"/>
                </w:tcPr>
                <w:p w14:paraId="1ECE7F15" w14:textId="558CCD73" w:rsidR="008E77D8" w:rsidRPr="008E77D8" w:rsidRDefault="008E77D8" w:rsidP="00C6753A">
                  <w:pPr>
                    <w:framePr w:hSpace="180" w:wrap="around" w:vAnchor="page" w:hAnchor="margin" w:y="1666"/>
                    <w:spacing w:line="360" w:lineRule="auto"/>
                    <w:jc w:val="center"/>
                    <w:rPr>
                      <w:b/>
                      <w:bCs/>
                      <w:sz w:val="28"/>
                      <w:szCs w:val="28"/>
                    </w:rPr>
                  </w:pPr>
                  <w:r w:rsidRPr="008E77D8">
                    <w:rPr>
                      <w:b/>
                      <w:bCs/>
                      <w:sz w:val="28"/>
                      <w:szCs w:val="28"/>
                    </w:rPr>
                    <w:lastRenderedPageBreak/>
                    <w:t>2</w:t>
                  </w:r>
                </w:p>
              </w:tc>
              <w:tc>
                <w:tcPr>
                  <w:tcW w:w="10777" w:type="dxa"/>
                </w:tcPr>
                <w:p w14:paraId="14B6004D" w14:textId="0F7E2C19" w:rsidR="008E77D8" w:rsidRPr="00B41658" w:rsidRDefault="00625BE9" w:rsidP="00C6753A">
                  <w:pPr>
                    <w:framePr w:hSpace="180" w:wrap="around" w:vAnchor="page" w:hAnchor="margin" w:y="1666"/>
                    <w:spacing w:line="360" w:lineRule="auto"/>
                    <w:jc w:val="both"/>
                    <w:rPr>
                      <w:sz w:val="28"/>
                      <w:szCs w:val="28"/>
                    </w:rPr>
                  </w:pPr>
                  <w:r w:rsidRPr="00625BE9">
                    <w:rPr>
                      <w:sz w:val="28"/>
                      <w:szCs w:val="28"/>
                    </w:rPr>
                    <w:t>Max Weber introduced the concept of Iron Cage Rationality. He divided rationality into two divisions: rational and non-rational decisions. Rational decisions include calculation and efficiency and focuses on results. Non-rational decisions include values, morals and traditions. Unlike rational decisions, non-rational decisions are focused on the process of decision-making rather than the end results. Weber believed rationalisation is a key aspect of modernisation.</w:t>
                  </w:r>
                </w:p>
              </w:tc>
              <w:tc>
                <w:tcPr>
                  <w:tcW w:w="1281" w:type="dxa"/>
                </w:tcPr>
                <w:p w14:paraId="25365966" w14:textId="77777777" w:rsidR="008E77D8" w:rsidRDefault="008E77D8" w:rsidP="00C6753A">
                  <w:pPr>
                    <w:framePr w:hSpace="180" w:wrap="around" w:vAnchor="page" w:hAnchor="margin" w:y="1666"/>
                    <w:jc w:val="center"/>
                  </w:pPr>
                </w:p>
              </w:tc>
            </w:tr>
            <w:tr w:rsidR="008E77D8" w14:paraId="2C8F8B39" w14:textId="77777777" w:rsidTr="00C57B40">
              <w:tc>
                <w:tcPr>
                  <w:tcW w:w="1419" w:type="dxa"/>
                </w:tcPr>
                <w:p w14:paraId="7894E751" w14:textId="15B28AA6" w:rsidR="008E77D8" w:rsidRPr="008E77D8" w:rsidRDefault="008E77D8" w:rsidP="00C6753A">
                  <w:pPr>
                    <w:framePr w:hSpace="180" w:wrap="around" w:vAnchor="page" w:hAnchor="margin" w:y="1666"/>
                    <w:spacing w:line="360" w:lineRule="auto"/>
                    <w:jc w:val="center"/>
                    <w:rPr>
                      <w:b/>
                      <w:bCs/>
                      <w:sz w:val="28"/>
                      <w:szCs w:val="28"/>
                    </w:rPr>
                  </w:pPr>
                  <w:r w:rsidRPr="008E77D8">
                    <w:rPr>
                      <w:b/>
                      <w:bCs/>
                      <w:sz w:val="28"/>
                      <w:szCs w:val="28"/>
                    </w:rPr>
                    <w:t>3</w:t>
                  </w:r>
                </w:p>
              </w:tc>
              <w:tc>
                <w:tcPr>
                  <w:tcW w:w="10777" w:type="dxa"/>
                </w:tcPr>
                <w:p w14:paraId="5D2DFC62" w14:textId="2EAF8A1E" w:rsidR="008E77D8" w:rsidRPr="00B41658" w:rsidRDefault="00625BE9" w:rsidP="00C6753A">
                  <w:pPr>
                    <w:framePr w:hSpace="180" w:wrap="around" w:vAnchor="page" w:hAnchor="margin" w:y="1666"/>
                    <w:spacing w:line="360" w:lineRule="auto"/>
                    <w:jc w:val="both"/>
                    <w:rPr>
                      <w:sz w:val="28"/>
                      <w:szCs w:val="28"/>
                    </w:rPr>
                  </w:pPr>
                  <w:r w:rsidRPr="00625BE9">
                    <w:rPr>
                      <w:sz w:val="28"/>
                      <w:szCs w:val="28"/>
                    </w:rPr>
                    <w:t>Broadly speaking, there is consensus within the literature that there are three key parameters to measuring the success of a project: quality, cost and time, referred to as the ‘Golden Triangle’ of project management or as the ‘dimensions of success’ for information systems.’ As such, a project always begins with the requirements of the people: the users, stakeholders and the project team itself. Indeed, it has been noted that there are six key areas to managing a project: first setting up the project, then managing the schedule, the finances, the benefits, the risks, opportunities and issues, and, finally, seeking independent review.</w:t>
                  </w:r>
                </w:p>
              </w:tc>
              <w:tc>
                <w:tcPr>
                  <w:tcW w:w="1281" w:type="dxa"/>
                </w:tcPr>
                <w:p w14:paraId="4838227A" w14:textId="77777777" w:rsidR="008E77D8" w:rsidRDefault="008E77D8" w:rsidP="00C6753A">
                  <w:pPr>
                    <w:framePr w:hSpace="180" w:wrap="around" w:vAnchor="page" w:hAnchor="margin" w:y="1666"/>
                    <w:jc w:val="center"/>
                  </w:pPr>
                </w:p>
              </w:tc>
            </w:tr>
            <w:tr w:rsidR="008E77D8" w14:paraId="26B0A929" w14:textId="77777777" w:rsidTr="00C57B40">
              <w:tc>
                <w:tcPr>
                  <w:tcW w:w="1419" w:type="dxa"/>
                </w:tcPr>
                <w:p w14:paraId="2773A3EE" w14:textId="7D7DBBEC" w:rsidR="008E77D8" w:rsidRPr="008E77D8" w:rsidRDefault="008E77D8" w:rsidP="00C6753A">
                  <w:pPr>
                    <w:framePr w:hSpace="180" w:wrap="around" w:vAnchor="page" w:hAnchor="margin" w:y="1666"/>
                    <w:spacing w:line="360" w:lineRule="auto"/>
                    <w:jc w:val="center"/>
                    <w:rPr>
                      <w:b/>
                      <w:bCs/>
                      <w:sz w:val="28"/>
                      <w:szCs w:val="28"/>
                    </w:rPr>
                  </w:pPr>
                  <w:r w:rsidRPr="008E77D8">
                    <w:rPr>
                      <w:b/>
                      <w:bCs/>
                      <w:sz w:val="28"/>
                      <w:szCs w:val="28"/>
                    </w:rPr>
                    <w:lastRenderedPageBreak/>
                    <w:t>4</w:t>
                  </w:r>
                </w:p>
              </w:tc>
              <w:tc>
                <w:tcPr>
                  <w:tcW w:w="10777" w:type="dxa"/>
                </w:tcPr>
                <w:p w14:paraId="19DCC893" w14:textId="592F6115" w:rsidR="008E77D8" w:rsidRPr="00B41658" w:rsidRDefault="00625BE9" w:rsidP="00C6753A">
                  <w:pPr>
                    <w:framePr w:hSpace="180" w:wrap="around" w:vAnchor="page" w:hAnchor="margin" w:y="1666"/>
                    <w:spacing w:line="360" w:lineRule="auto"/>
                    <w:jc w:val="both"/>
                    <w:rPr>
                      <w:sz w:val="28"/>
                      <w:szCs w:val="28"/>
                    </w:rPr>
                  </w:pPr>
                  <w:r w:rsidRPr="00625BE9">
                    <w:rPr>
                      <w:sz w:val="28"/>
                      <w:szCs w:val="28"/>
                    </w:rPr>
                    <w:t>The metacognitive model explains the causes of obsessive compulsive disorder (OCD). Metacognition is referred to as an awareness about one's thought processes and the strategies used to regulate those. There are two categories of belief that are evident in maintaining OCD. The first covers the three types of metacognitive beliefs about intrusive thoughts. The second belief is that of the necessity to perform the ritual and the negative consequences for failing to do that.</w:t>
                  </w:r>
                </w:p>
              </w:tc>
              <w:tc>
                <w:tcPr>
                  <w:tcW w:w="1281" w:type="dxa"/>
                </w:tcPr>
                <w:p w14:paraId="46077217" w14:textId="77777777" w:rsidR="008E77D8" w:rsidRDefault="008E77D8" w:rsidP="00C6753A">
                  <w:pPr>
                    <w:framePr w:hSpace="180" w:wrap="around" w:vAnchor="page" w:hAnchor="margin" w:y="1666"/>
                    <w:jc w:val="center"/>
                  </w:pPr>
                </w:p>
              </w:tc>
            </w:tr>
            <w:tr w:rsidR="008E77D8" w14:paraId="6B4F574B" w14:textId="77777777" w:rsidTr="00C57B40">
              <w:tc>
                <w:tcPr>
                  <w:tcW w:w="1419" w:type="dxa"/>
                </w:tcPr>
                <w:p w14:paraId="3C98447C" w14:textId="5B9F40B9" w:rsidR="008E77D8" w:rsidRPr="008E77D8" w:rsidRDefault="008E77D8" w:rsidP="00C6753A">
                  <w:pPr>
                    <w:framePr w:hSpace="180" w:wrap="around" w:vAnchor="page" w:hAnchor="margin" w:y="1666"/>
                    <w:spacing w:line="360" w:lineRule="auto"/>
                    <w:jc w:val="center"/>
                    <w:rPr>
                      <w:b/>
                      <w:bCs/>
                      <w:sz w:val="28"/>
                      <w:szCs w:val="28"/>
                    </w:rPr>
                  </w:pPr>
                  <w:r w:rsidRPr="008E77D8">
                    <w:rPr>
                      <w:b/>
                      <w:bCs/>
                      <w:sz w:val="28"/>
                      <w:szCs w:val="28"/>
                    </w:rPr>
                    <w:t>5</w:t>
                  </w:r>
                </w:p>
              </w:tc>
              <w:tc>
                <w:tcPr>
                  <w:tcW w:w="10777" w:type="dxa"/>
                </w:tcPr>
                <w:p w14:paraId="62564456" w14:textId="571C2C3A" w:rsidR="008E77D8" w:rsidRPr="00B41658" w:rsidRDefault="00625BE9" w:rsidP="00C6753A">
                  <w:pPr>
                    <w:framePr w:hSpace="180" w:wrap="around" w:vAnchor="page" w:hAnchor="margin" w:y="1666"/>
                    <w:spacing w:line="360" w:lineRule="auto"/>
                    <w:jc w:val="both"/>
                    <w:rPr>
                      <w:sz w:val="28"/>
                      <w:szCs w:val="28"/>
                    </w:rPr>
                  </w:pPr>
                  <w:r w:rsidRPr="00625BE9">
                    <w:rPr>
                      <w:sz w:val="28"/>
                      <w:szCs w:val="28"/>
                    </w:rPr>
                    <w:t xml:space="preserve">In contrast to the more Westminster-centric work of influential Tudor historians, perhaps most notably Geoffrey Elton, the work of later historians, including Penry Williams and John Guy, has given much more weight and attention to the role of the county gentry. Indeed, having explored the court and its controversies, the natural step for political historians was to move outwards from Westminster - the heart of the </w:t>
                  </w:r>
                  <w:r w:rsidRPr="00625BE9">
                    <w:rPr>
                      <w:i/>
                      <w:iCs/>
                      <w:sz w:val="28"/>
                      <w:szCs w:val="28"/>
                    </w:rPr>
                    <w:t>body politic</w:t>
                  </w:r>
                  <w:r w:rsidRPr="00625BE9">
                    <w:rPr>
                      <w:sz w:val="28"/>
                      <w:szCs w:val="28"/>
                    </w:rPr>
                    <w:t xml:space="preserve"> - to the counties to view the court and country from afar, the most successful examples of which being Cheshire, Kent and Suffolk.</w:t>
                  </w:r>
                </w:p>
              </w:tc>
              <w:tc>
                <w:tcPr>
                  <w:tcW w:w="1281" w:type="dxa"/>
                </w:tcPr>
                <w:p w14:paraId="22888B29" w14:textId="77777777" w:rsidR="008E77D8" w:rsidRDefault="008E77D8" w:rsidP="00C6753A">
                  <w:pPr>
                    <w:framePr w:hSpace="180" w:wrap="around" w:vAnchor="page" w:hAnchor="margin" w:y="1666"/>
                    <w:jc w:val="center"/>
                  </w:pPr>
                </w:p>
              </w:tc>
            </w:tr>
          </w:tbl>
          <w:p w14:paraId="6FE77A07" w14:textId="77777777" w:rsidR="001C500A" w:rsidRPr="008E77D8" w:rsidRDefault="001C500A" w:rsidP="00C57B40">
            <w:pPr>
              <w:spacing w:before="120" w:after="120" w:line="360" w:lineRule="auto"/>
              <w:jc w:val="center"/>
              <w:rPr>
                <w:rFonts w:ascii="Arial" w:hAnsi="Arial" w:cs="Arial"/>
                <w:b/>
                <w:color w:val="2F5496" w:themeColor="accent1" w:themeShade="BF"/>
                <w:sz w:val="32"/>
                <w:szCs w:val="32"/>
              </w:rPr>
            </w:pPr>
          </w:p>
        </w:tc>
      </w:tr>
    </w:tbl>
    <w:p w14:paraId="49BA9B24" w14:textId="7B6EA7AA" w:rsidR="000A2390" w:rsidRDefault="000A2390" w:rsidP="000573BB">
      <w:pPr>
        <w:pStyle w:val="NoSpacing"/>
        <w:rPr>
          <w:rFonts w:ascii="Arial" w:hAnsi="Arial" w:cs="Arial"/>
          <w:sz w:val="24"/>
          <w:szCs w:val="24"/>
        </w:rPr>
      </w:pPr>
    </w:p>
    <w:sectPr w:rsidR="000A2390" w:rsidSect="00C57B40">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701" w:bottom="1440" w:left="1440"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DDEAB" w14:textId="77777777" w:rsidR="00E075AE" w:rsidRDefault="00E075AE" w:rsidP="00D666C2">
      <w:pPr>
        <w:spacing w:after="0" w:line="240" w:lineRule="auto"/>
      </w:pPr>
      <w:r>
        <w:separator/>
      </w:r>
    </w:p>
  </w:endnote>
  <w:endnote w:type="continuationSeparator" w:id="0">
    <w:p w14:paraId="6AE03126" w14:textId="77777777" w:rsidR="00E075AE" w:rsidRDefault="00E075AE" w:rsidP="00D66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9CED3" w14:textId="77777777" w:rsidR="00C65F30" w:rsidRDefault="00C65F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3567" w:type="dxa"/>
      <w:tblBorders>
        <w:top w:val="dotted"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8051"/>
      <w:gridCol w:w="1376"/>
    </w:tblGrid>
    <w:tr w:rsidR="00B94BE2" w:rsidRPr="009B1854" w14:paraId="69A8FF20" w14:textId="77777777" w:rsidTr="00C57B40">
      <w:tc>
        <w:tcPr>
          <w:tcW w:w="4140" w:type="dxa"/>
        </w:tcPr>
        <w:p w14:paraId="02B5AC2D" w14:textId="77777777" w:rsidR="00B94BE2" w:rsidRPr="009B1854" w:rsidRDefault="005A5D7C" w:rsidP="00B94BE2">
          <w:pPr>
            <w:pStyle w:val="Footer"/>
            <w:tabs>
              <w:tab w:val="clear" w:pos="4513"/>
              <w:tab w:val="clear" w:pos="9026"/>
              <w:tab w:val="right" w:pos="4292"/>
            </w:tabs>
            <w:spacing w:before="60" w:after="60"/>
            <w:rPr>
              <w:rFonts w:ascii="Arial" w:hAnsi="Arial" w:cs="Arial"/>
              <w:sz w:val="16"/>
              <w:szCs w:val="16"/>
            </w:rPr>
          </w:pPr>
          <w:r>
            <w:rPr>
              <w:rFonts w:ascii="Arial" w:hAnsi="Arial" w:cs="Arial"/>
              <w:sz w:val="16"/>
              <w:szCs w:val="16"/>
            </w:rPr>
            <w:t>Produced</w:t>
          </w:r>
          <w:r w:rsidR="00B94BE2">
            <w:rPr>
              <w:rFonts w:ascii="Arial" w:hAnsi="Arial" w:cs="Arial"/>
              <w:sz w:val="16"/>
              <w:szCs w:val="16"/>
            </w:rPr>
            <w:t xml:space="preserve"> by LSBU Learning Development Team</w:t>
          </w:r>
        </w:p>
      </w:tc>
      <w:tc>
        <w:tcPr>
          <w:tcW w:w="8051" w:type="dxa"/>
        </w:tcPr>
        <w:p w14:paraId="0E9AF399" w14:textId="441DBEE6" w:rsidR="00B94BE2" w:rsidRPr="009B1854" w:rsidRDefault="00C65F30" w:rsidP="00C65F30">
          <w:pPr>
            <w:pStyle w:val="Footer"/>
            <w:tabs>
              <w:tab w:val="clear" w:pos="4513"/>
              <w:tab w:val="clear" w:pos="9026"/>
              <w:tab w:val="right" w:pos="4292"/>
            </w:tabs>
            <w:spacing w:before="60" w:after="60"/>
            <w:rPr>
              <w:rFonts w:ascii="Arial" w:hAnsi="Arial" w:cs="Arial"/>
              <w:sz w:val="16"/>
              <w:szCs w:val="16"/>
            </w:rPr>
          </w:pPr>
          <w:r>
            <w:rPr>
              <w:rFonts w:ascii="Arial" w:hAnsi="Arial" w:cs="Arial"/>
              <w:sz w:val="16"/>
              <w:szCs w:val="16"/>
            </w:rPr>
            <w:t xml:space="preserve">Literature Reviews 3: </w:t>
          </w:r>
          <w:r w:rsidR="00C57B40">
            <w:rPr>
              <w:rFonts w:ascii="Arial" w:hAnsi="Arial" w:cs="Arial"/>
              <w:sz w:val="16"/>
              <w:szCs w:val="16"/>
            </w:rPr>
            <w:t xml:space="preserve">Recognising Quality Literature Reviews </w:t>
          </w:r>
        </w:p>
      </w:tc>
      <w:tc>
        <w:tcPr>
          <w:tcW w:w="1376" w:type="dxa"/>
        </w:tcPr>
        <w:p w14:paraId="697FDF5E" w14:textId="2FCE0DBD" w:rsidR="00B94BE2" w:rsidRPr="009B1854" w:rsidRDefault="00B94BE2" w:rsidP="009B1854">
          <w:pPr>
            <w:pStyle w:val="Footer"/>
            <w:spacing w:before="60" w:after="60"/>
            <w:jc w:val="right"/>
            <w:rPr>
              <w:rFonts w:ascii="Arial" w:hAnsi="Arial" w:cs="Arial"/>
              <w:sz w:val="16"/>
              <w:szCs w:val="16"/>
            </w:rPr>
          </w:pPr>
          <w:r w:rsidRPr="009B1854">
            <w:rPr>
              <w:rFonts w:ascii="Arial" w:hAnsi="Arial" w:cs="Arial"/>
              <w:sz w:val="16"/>
              <w:szCs w:val="16"/>
            </w:rPr>
            <w:t xml:space="preserve">Page </w:t>
          </w:r>
          <w:r w:rsidRPr="009B1854">
            <w:rPr>
              <w:rFonts w:ascii="Arial" w:hAnsi="Arial" w:cs="Arial"/>
              <w:sz w:val="16"/>
              <w:szCs w:val="16"/>
            </w:rPr>
            <w:fldChar w:fldCharType="begin"/>
          </w:r>
          <w:r w:rsidRPr="009B1854">
            <w:rPr>
              <w:rFonts w:ascii="Arial" w:hAnsi="Arial" w:cs="Arial"/>
              <w:sz w:val="16"/>
              <w:szCs w:val="16"/>
            </w:rPr>
            <w:instrText xml:space="preserve"> PAGE </w:instrText>
          </w:r>
          <w:r w:rsidRPr="009B1854">
            <w:rPr>
              <w:rFonts w:ascii="Arial" w:hAnsi="Arial" w:cs="Arial"/>
              <w:sz w:val="16"/>
              <w:szCs w:val="16"/>
            </w:rPr>
            <w:fldChar w:fldCharType="separate"/>
          </w:r>
          <w:r w:rsidR="000930EF">
            <w:rPr>
              <w:rFonts w:ascii="Arial" w:hAnsi="Arial" w:cs="Arial"/>
              <w:noProof/>
              <w:sz w:val="16"/>
              <w:szCs w:val="16"/>
            </w:rPr>
            <w:t>1</w:t>
          </w:r>
          <w:r w:rsidRPr="009B1854">
            <w:rPr>
              <w:rFonts w:ascii="Arial" w:hAnsi="Arial" w:cs="Arial"/>
              <w:sz w:val="16"/>
              <w:szCs w:val="16"/>
            </w:rPr>
            <w:fldChar w:fldCharType="end"/>
          </w:r>
          <w:r w:rsidRPr="009B1854">
            <w:rPr>
              <w:rFonts w:ascii="Arial" w:hAnsi="Arial" w:cs="Arial"/>
              <w:sz w:val="16"/>
              <w:szCs w:val="16"/>
            </w:rPr>
            <w:t xml:space="preserve"> of </w:t>
          </w:r>
          <w:r w:rsidRPr="009B1854">
            <w:rPr>
              <w:rFonts w:ascii="Arial" w:hAnsi="Arial" w:cs="Arial"/>
              <w:sz w:val="16"/>
              <w:szCs w:val="16"/>
            </w:rPr>
            <w:fldChar w:fldCharType="begin"/>
          </w:r>
          <w:r w:rsidRPr="009B1854">
            <w:rPr>
              <w:rFonts w:ascii="Arial" w:hAnsi="Arial" w:cs="Arial"/>
              <w:sz w:val="16"/>
              <w:szCs w:val="16"/>
            </w:rPr>
            <w:instrText xml:space="preserve"> NUMPAGES </w:instrText>
          </w:r>
          <w:r w:rsidRPr="009B1854">
            <w:rPr>
              <w:rFonts w:ascii="Arial" w:hAnsi="Arial" w:cs="Arial"/>
              <w:sz w:val="16"/>
              <w:szCs w:val="16"/>
            </w:rPr>
            <w:fldChar w:fldCharType="separate"/>
          </w:r>
          <w:r w:rsidR="000930EF">
            <w:rPr>
              <w:rFonts w:ascii="Arial" w:hAnsi="Arial" w:cs="Arial"/>
              <w:noProof/>
              <w:sz w:val="16"/>
              <w:szCs w:val="16"/>
            </w:rPr>
            <w:t>3</w:t>
          </w:r>
          <w:r w:rsidRPr="009B1854">
            <w:rPr>
              <w:rFonts w:ascii="Arial" w:hAnsi="Arial" w:cs="Arial"/>
              <w:sz w:val="16"/>
              <w:szCs w:val="16"/>
            </w:rPr>
            <w:fldChar w:fldCharType="end"/>
          </w:r>
        </w:p>
      </w:tc>
    </w:tr>
    <w:tr w:rsidR="00C57B40" w:rsidRPr="009B1854" w14:paraId="719A3790" w14:textId="77777777" w:rsidTr="00C57B40">
      <w:tc>
        <w:tcPr>
          <w:tcW w:w="4140" w:type="dxa"/>
        </w:tcPr>
        <w:p w14:paraId="610B05E7" w14:textId="77777777" w:rsidR="00C57B40" w:rsidRDefault="00C57B40" w:rsidP="00B94BE2">
          <w:pPr>
            <w:pStyle w:val="Footer"/>
            <w:tabs>
              <w:tab w:val="clear" w:pos="4513"/>
              <w:tab w:val="clear" w:pos="9026"/>
              <w:tab w:val="right" w:pos="4292"/>
            </w:tabs>
            <w:spacing w:before="60" w:after="60"/>
            <w:rPr>
              <w:rFonts w:ascii="Arial" w:hAnsi="Arial" w:cs="Arial"/>
              <w:sz w:val="16"/>
              <w:szCs w:val="16"/>
            </w:rPr>
          </w:pPr>
        </w:p>
      </w:tc>
      <w:tc>
        <w:tcPr>
          <w:tcW w:w="8051" w:type="dxa"/>
        </w:tcPr>
        <w:p w14:paraId="7EEE472E" w14:textId="77777777" w:rsidR="00C57B40" w:rsidRPr="009B1854" w:rsidRDefault="00C57B40" w:rsidP="00C57B40">
          <w:pPr>
            <w:pStyle w:val="Footer"/>
            <w:tabs>
              <w:tab w:val="clear" w:pos="4513"/>
              <w:tab w:val="clear" w:pos="9026"/>
              <w:tab w:val="right" w:pos="4292"/>
            </w:tabs>
            <w:spacing w:before="60" w:after="60"/>
            <w:rPr>
              <w:rFonts w:ascii="Arial" w:hAnsi="Arial" w:cs="Arial"/>
              <w:sz w:val="16"/>
              <w:szCs w:val="16"/>
            </w:rPr>
          </w:pPr>
        </w:p>
      </w:tc>
      <w:tc>
        <w:tcPr>
          <w:tcW w:w="1376" w:type="dxa"/>
        </w:tcPr>
        <w:p w14:paraId="162DAEDE" w14:textId="77777777" w:rsidR="00C57B40" w:rsidRPr="009B1854" w:rsidRDefault="00C57B40" w:rsidP="009B1854">
          <w:pPr>
            <w:pStyle w:val="Footer"/>
            <w:spacing w:before="60" w:after="60"/>
            <w:jc w:val="right"/>
            <w:rPr>
              <w:rFonts w:ascii="Arial" w:hAnsi="Arial" w:cs="Arial"/>
              <w:sz w:val="16"/>
              <w:szCs w:val="16"/>
            </w:rPr>
          </w:pPr>
        </w:p>
      </w:tc>
    </w:tr>
  </w:tbl>
  <w:p w14:paraId="135050A2" w14:textId="77777777" w:rsidR="000A2390" w:rsidRDefault="000A23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80AB7" w14:textId="77777777" w:rsidR="00C65F30" w:rsidRDefault="00C65F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31185" w14:textId="77777777" w:rsidR="00E075AE" w:rsidRDefault="00E075AE" w:rsidP="00D666C2">
      <w:pPr>
        <w:spacing w:after="0" w:line="240" w:lineRule="auto"/>
      </w:pPr>
      <w:r>
        <w:separator/>
      </w:r>
    </w:p>
  </w:footnote>
  <w:footnote w:type="continuationSeparator" w:id="0">
    <w:p w14:paraId="0C0DCA27" w14:textId="77777777" w:rsidR="00E075AE" w:rsidRDefault="00E075AE" w:rsidP="00D66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0C3B6" w14:textId="77777777" w:rsidR="00C65F30" w:rsidRDefault="00C65F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3F747" w14:textId="77777777" w:rsidR="00C03F7D" w:rsidRDefault="00C03F7D">
    <w:pPr>
      <w:pStyle w:val="Header"/>
    </w:pPr>
    <w:r>
      <w:rPr>
        <w:noProof/>
        <w:lang w:eastAsia="en-GB"/>
      </w:rPr>
      <w:drawing>
        <wp:inline distT="0" distB="0" distL="0" distR="0" wp14:anchorId="24EEC407" wp14:editId="76E30C11">
          <wp:extent cx="2160000" cy="1058400"/>
          <wp:effectExtent l="0" t="0" r="0" b="8890"/>
          <wp:docPr id="2" name="Picture 2" descr="go on holi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 on holida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000" cy="1058400"/>
                  </a:xfrm>
                  <a:prstGeom prst="rect">
                    <a:avLst/>
                  </a:prstGeom>
                  <a:noFill/>
                  <a:ln>
                    <a:noFill/>
                  </a:ln>
                </pic:spPr>
              </pic:pic>
            </a:graphicData>
          </a:graphic>
        </wp:inline>
      </w:drawing>
    </w:r>
  </w:p>
  <w:p w14:paraId="1B320E13" w14:textId="77777777" w:rsidR="00D666C2" w:rsidRDefault="00D666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8B99C" w14:textId="77777777" w:rsidR="00C65F30" w:rsidRDefault="00C65F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169CC"/>
    <w:multiLevelType w:val="hybridMultilevel"/>
    <w:tmpl w:val="1D268D50"/>
    <w:lvl w:ilvl="0" w:tplc="6F2EA986">
      <w:start w:val="1"/>
      <w:numFmt w:val="lowerRoman"/>
      <w:lvlText w:val="%1)"/>
      <w:lvlJc w:val="left"/>
      <w:pPr>
        <w:ind w:left="1606" w:hanging="720"/>
      </w:pPr>
      <w:rPr>
        <w:rFonts w:hint="default"/>
      </w:rPr>
    </w:lvl>
    <w:lvl w:ilvl="1" w:tplc="08090019" w:tentative="1">
      <w:start w:val="1"/>
      <w:numFmt w:val="lowerLetter"/>
      <w:lvlText w:val="%2."/>
      <w:lvlJc w:val="left"/>
      <w:pPr>
        <w:ind w:left="1966" w:hanging="360"/>
      </w:pPr>
    </w:lvl>
    <w:lvl w:ilvl="2" w:tplc="0809001B" w:tentative="1">
      <w:start w:val="1"/>
      <w:numFmt w:val="lowerRoman"/>
      <w:lvlText w:val="%3."/>
      <w:lvlJc w:val="right"/>
      <w:pPr>
        <w:ind w:left="2686" w:hanging="180"/>
      </w:pPr>
    </w:lvl>
    <w:lvl w:ilvl="3" w:tplc="0809000F" w:tentative="1">
      <w:start w:val="1"/>
      <w:numFmt w:val="decimal"/>
      <w:lvlText w:val="%4."/>
      <w:lvlJc w:val="left"/>
      <w:pPr>
        <w:ind w:left="3406" w:hanging="360"/>
      </w:pPr>
    </w:lvl>
    <w:lvl w:ilvl="4" w:tplc="08090019" w:tentative="1">
      <w:start w:val="1"/>
      <w:numFmt w:val="lowerLetter"/>
      <w:lvlText w:val="%5."/>
      <w:lvlJc w:val="left"/>
      <w:pPr>
        <w:ind w:left="4126" w:hanging="360"/>
      </w:pPr>
    </w:lvl>
    <w:lvl w:ilvl="5" w:tplc="0809001B" w:tentative="1">
      <w:start w:val="1"/>
      <w:numFmt w:val="lowerRoman"/>
      <w:lvlText w:val="%6."/>
      <w:lvlJc w:val="right"/>
      <w:pPr>
        <w:ind w:left="4846" w:hanging="180"/>
      </w:pPr>
    </w:lvl>
    <w:lvl w:ilvl="6" w:tplc="0809000F" w:tentative="1">
      <w:start w:val="1"/>
      <w:numFmt w:val="decimal"/>
      <w:lvlText w:val="%7."/>
      <w:lvlJc w:val="left"/>
      <w:pPr>
        <w:ind w:left="5566" w:hanging="360"/>
      </w:pPr>
    </w:lvl>
    <w:lvl w:ilvl="7" w:tplc="08090019" w:tentative="1">
      <w:start w:val="1"/>
      <w:numFmt w:val="lowerLetter"/>
      <w:lvlText w:val="%8."/>
      <w:lvlJc w:val="left"/>
      <w:pPr>
        <w:ind w:left="6286" w:hanging="360"/>
      </w:pPr>
    </w:lvl>
    <w:lvl w:ilvl="8" w:tplc="0809001B" w:tentative="1">
      <w:start w:val="1"/>
      <w:numFmt w:val="lowerRoman"/>
      <w:lvlText w:val="%9."/>
      <w:lvlJc w:val="right"/>
      <w:pPr>
        <w:ind w:left="7006" w:hanging="180"/>
      </w:pPr>
    </w:lvl>
  </w:abstractNum>
  <w:abstractNum w:abstractNumId="1" w15:restartNumberingAfterBreak="0">
    <w:nsid w:val="0CE26D48"/>
    <w:multiLevelType w:val="hybridMultilevel"/>
    <w:tmpl w:val="94E488E0"/>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11B53"/>
    <w:multiLevelType w:val="hybridMultilevel"/>
    <w:tmpl w:val="FD6CB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4D02C0"/>
    <w:multiLevelType w:val="hybridMultilevel"/>
    <w:tmpl w:val="57BA16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F47C2E"/>
    <w:multiLevelType w:val="hybridMultilevel"/>
    <w:tmpl w:val="BE54225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AE4993"/>
    <w:multiLevelType w:val="hybridMultilevel"/>
    <w:tmpl w:val="BE54225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005DC7"/>
    <w:multiLevelType w:val="hybridMultilevel"/>
    <w:tmpl w:val="B3A45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99070C"/>
    <w:multiLevelType w:val="hybridMultilevel"/>
    <w:tmpl w:val="8186838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AD1B7C"/>
    <w:multiLevelType w:val="hybridMultilevel"/>
    <w:tmpl w:val="BE54225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A41AC3"/>
    <w:multiLevelType w:val="hybridMultilevel"/>
    <w:tmpl w:val="0A5CB4AE"/>
    <w:lvl w:ilvl="0" w:tplc="A956ECB8">
      <w:start w:val="2"/>
      <w:numFmt w:val="lowerRoman"/>
      <w:lvlText w:val="%1)"/>
      <w:lvlJc w:val="left"/>
      <w:pPr>
        <w:ind w:left="2020" w:hanging="720"/>
      </w:pPr>
      <w:rPr>
        <w:rFonts w:hint="default"/>
      </w:rPr>
    </w:lvl>
    <w:lvl w:ilvl="1" w:tplc="08090019" w:tentative="1">
      <w:start w:val="1"/>
      <w:numFmt w:val="lowerLetter"/>
      <w:lvlText w:val="%2."/>
      <w:lvlJc w:val="left"/>
      <w:pPr>
        <w:ind w:left="2380" w:hanging="360"/>
      </w:pPr>
    </w:lvl>
    <w:lvl w:ilvl="2" w:tplc="0809001B" w:tentative="1">
      <w:start w:val="1"/>
      <w:numFmt w:val="lowerRoman"/>
      <w:lvlText w:val="%3."/>
      <w:lvlJc w:val="right"/>
      <w:pPr>
        <w:ind w:left="3100" w:hanging="180"/>
      </w:pPr>
    </w:lvl>
    <w:lvl w:ilvl="3" w:tplc="0809000F" w:tentative="1">
      <w:start w:val="1"/>
      <w:numFmt w:val="decimal"/>
      <w:lvlText w:val="%4."/>
      <w:lvlJc w:val="left"/>
      <w:pPr>
        <w:ind w:left="3820" w:hanging="360"/>
      </w:pPr>
    </w:lvl>
    <w:lvl w:ilvl="4" w:tplc="08090019" w:tentative="1">
      <w:start w:val="1"/>
      <w:numFmt w:val="lowerLetter"/>
      <w:lvlText w:val="%5."/>
      <w:lvlJc w:val="left"/>
      <w:pPr>
        <w:ind w:left="4540" w:hanging="360"/>
      </w:pPr>
    </w:lvl>
    <w:lvl w:ilvl="5" w:tplc="0809001B" w:tentative="1">
      <w:start w:val="1"/>
      <w:numFmt w:val="lowerRoman"/>
      <w:lvlText w:val="%6."/>
      <w:lvlJc w:val="right"/>
      <w:pPr>
        <w:ind w:left="5260" w:hanging="180"/>
      </w:pPr>
    </w:lvl>
    <w:lvl w:ilvl="6" w:tplc="0809000F" w:tentative="1">
      <w:start w:val="1"/>
      <w:numFmt w:val="decimal"/>
      <w:lvlText w:val="%7."/>
      <w:lvlJc w:val="left"/>
      <w:pPr>
        <w:ind w:left="5980" w:hanging="360"/>
      </w:pPr>
    </w:lvl>
    <w:lvl w:ilvl="7" w:tplc="08090019" w:tentative="1">
      <w:start w:val="1"/>
      <w:numFmt w:val="lowerLetter"/>
      <w:lvlText w:val="%8."/>
      <w:lvlJc w:val="left"/>
      <w:pPr>
        <w:ind w:left="6700" w:hanging="360"/>
      </w:pPr>
    </w:lvl>
    <w:lvl w:ilvl="8" w:tplc="0809001B" w:tentative="1">
      <w:start w:val="1"/>
      <w:numFmt w:val="lowerRoman"/>
      <w:lvlText w:val="%9."/>
      <w:lvlJc w:val="right"/>
      <w:pPr>
        <w:ind w:left="7420" w:hanging="180"/>
      </w:pPr>
    </w:lvl>
  </w:abstractNum>
  <w:abstractNum w:abstractNumId="10" w15:restartNumberingAfterBreak="0">
    <w:nsid w:val="32ED6CA4"/>
    <w:multiLevelType w:val="hybridMultilevel"/>
    <w:tmpl w:val="2E0CD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0A1A5C"/>
    <w:multiLevelType w:val="hybridMultilevel"/>
    <w:tmpl w:val="F5A2E1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D61337"/>
    <w:multiLevelType w:val="hybridMultilevel"/>
    <w:tmpl w:val="D6C2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2A4C64"/>
    <w:multiLevelType w:val="hybridMultilevel"/>
    <w:tmpl w:val="4A0E86E0"/>
    <w:lvl w:ilvl="0" w:tplc="92B49DB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395895"/>
    <w:multiLevelType w:val="hybridMultilevel"/>
    <w:tmpl w:val="BE54225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F23515"/>
    <w:multiLevelType w:val="hybridMultilevel"/>
    <w:tmpl w:val="568223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4371CD"/>
    <w:multiLevelType w:val="hybridMultilevel"/>
    <w:tmpl w:val="BE54225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CF2036"/>
    <w:multiLevelType w:val="hybridMultilevel"/>
    <w:tmpl w:val="A6802D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D915B2"/>
    <w:multiLevelType w:val="hybridMultilevel"/>
    <w:tmpl w:val="1BB65F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E1E4166"/>
    <w:multiLevelType w:val="hybridMultilevel"/>
    <w:tmpl w:val="BE54225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96038F"/>
    <w:multiLevelType w:val="hybridMultilevel"/>
    <w:tmpl w:val="551EC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770E14"/>
    <w:multiLevelType w:val="hybridMultilevel"/>
    <w:tmpl w:val="9F60C7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13"/>
  </w:num>
  <w:num w:numId="5">
    <w:abstractNumId w:val="8"/>
  </w:num>
  <w:num w:numId="6">
    <w:abstractNumId w:val="1"/>
  </w:num>
  <w:num w:numId="7">
    <w:abstractNumId w:val="19"/>
  </w:num>
  <w:num w:numId="8">
    <w:abstractNumId w:val="4"/>
  </w:num>
  <w:num w:numId="9">
    <w:abstractNumId w:val="16"/>
  </w:num>
  <w:num w:numId="10">
    <w:abstractNumId w:val="14"/>
  </w:num>
  <w:num w:numId="11">
    <w:abstractNumId w:val="20"/>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5"/>
  </w:num>
  <w:num w:numId="15">
    <w:abstractNumId w:val="9"/>
  </w:num>
  <w:num w:numId="16">
    <w:abstractNumId w:val="0"/>
  </w:num>
  <w:num w:numId="17">
    <w:abstractNumId w:val="17"/>
  </w:num>
  <w:num w:numId="18">
    <w:abstractNumId w:val="18"/>
  </w:num>
  <w:num w:numId="19">
    <w:abstractNumId w:val="6"/>
  </w:num>
  <w:num w:numId="20">
    <w:abstractNumId w:val="10"/>
  </w:num>
  <w:num w:numId="21">
    <w:abstractNumId w:val="15"/>
  </w:num>
  <w:num w:numId="22">
    <w:abstractNumId w:val="11"/>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611"/>
    <w:rsid w:val="00026098"/>
    <w:rsid w:val="000573BB"/>
    <w:rsid w:val="00090980"/>
    <w:rsid w:val="000930EF"/>
    <w:rsid w:val="00095FBC"/>
    <w:rsid w:val="000978FC"/>
    <w:rsid w:val="000A0F15"/>
    <w:rsid w:val="000A2390"/>
    <w:rsid w:val="000C0875"/>
    <w:rsid w:val="00150558"/>
    <w:rsid w:val="00150C8F"/>
    <w:rsid w:val="0016769F"/>
    <w:rsid w:val="001A5977"/>
    <w:rsid w:val="001C500A"/>
    <w:rsid w:val="001D55E6"/>
    <w:rsid w:val="00220729"/>
    <w:rsid w:val="00232D2A"/>
    <w:rsid w:val="0024185B"/>
    <w:rsid w:val="00264B3B"/>
    <w:rsid w:val="00281A1D"/>
    <w:rsid w:val="0029170B"/>
    <w:rsid w:val="002A236C"/>
    <w:rsid w:val="002C4072"/>
    <w:rsid w:val="002F2F65"/>
    <w:rsid w:val="00327882"/>
    <w:rsid w:val="0036162B"/>
    <w:rsid w:val="003B2939"/>
    <w:rsid w:val="003E1E0E"/>
    <w:rsid w:val="003F2987"/>
    <w:rsid w:val="004010FA"/>
    <w:rsid w:val="004012CE"/>
    <w:rsid w:val="004435BD"/>
    <w:rsid w:val="004533A3"/>
    <w:rsid w:val="00455ADC"/>
    <w:rsid w:val="00474DD2"/>
    <w:rsid w:val="004C1AA4"/>
    <w:rsid w:val="004D52B8"/>
    <w:rsid w:val="005203D7"/>
    <w:rsid w:val="00557A14"/>
    <w:rsid w:val="00596611"/>
    <w:rsid w:val="005A5D7C"/>
    <w:rsid w:val="00600127"/>
    <w:rsid w:val="00625BE9"/>
    <w:rsid w:val="00635D67"/>
    <w:rsid w:val="00685647"/>
    <w:rsid w:val="00691E1A"/>
    <w:rsid w:val="006A0FFA"/>
    <w:rsid w:val="006C1E55"/>
    <w:rsid w:val="006C50B5"/>
    <w:rsid w:val="006E3012"/>
    <w:rsid w:val="006F069C"/>
    <w:rsid w:val="006F7274"/>
    <w:rsid w:val="006F7799"/>
    <w:rsid w:val="00726ED7"/>
    <w:rsid w:val="0075538C"/>
    <w:rsid w:val="007A37B9"/>
    <w:rsid w:val="0081366F"/>
    <w:rsid w:val="008179BD"/>
    <w:rsid w:val="00837B77"/>
    <w:rsid w:val="0086646F"/>
    <w:rsid w:val="00867D35"/>
    <w:rsid w:val="00874671"/>
    <w:rsid w:val="008B2E0D"/>
    <w:rsid w:val="008B7C61"/>
    <w:rsid w:val="008E77D8"/>
    <w:rsid w:val="00916C66"/>
    <w:rsid w:val="009777FC"/>
    <w:rsid w:val="009B1854"/>
    <w:rsid w:val="009D1867"/>
    <w:rsid w:val="009D192C"/>
    <w:rsid w:val="009E1A68"/>
    <w:rsid w:val="00A10075"/>
    <w:rsid w:val="00A403C0"/>
    <w:rsid w:val="00A41443"/>
    <w:rsid w:val="00A80DD7"/>
    <w:rsid w:val="00AD1C3B"/>
    <w:rsid w:val="00B014D9"/>
    <w:rsid w:val="00B15BA3"/>
    <w:rsid w:val="00B477E9"/>
    <w:rsid w:val="00B62B58"/>
    <w:rsid w:val="00B64C48"/>
    <w:rsid w:val="00B94BE2"/>
    <w:rsid w:val="00BA0BEB"/>
    <w:rsid w:val="00BB10C6"/>
    <w:rsid w:val="00BE6960"/>
    <w:rsid w:val="00C03F7D"/>
    <w:rsid w:val="00C129C0"/>
    <w:rsid w:val="00C535E0"/>
    <w:rsid w:val="00C54AD3"/>
    <w:rsid w:val="00C57B40"/>
    <w:rsid w:val="00C65F30"/>
    <w:rsid w:val="00C6753A"/>
    <w:rsid w:val="00C82D70"/>
    <w:rsid w:val="00CA1778"/>
    <w:rsid w:val="00CE699F"/>
    <w:rsid w:val="00CF7693"/>
    <w:rsid w:val="00D231FC"/>
    <w:rsid w:val="00D2635C"/>
    <w:rsid w:val="00D3199C"/>
    <w:rsid w:val="00D415BD"/>
    <w:rsid w:val="00D4549F"/>
    <w:rsid w:val="00D57D4F"/>
    <w:rsid w:val="00D666C2"/>
    <w:rsid w:val="00D7159E"/>
    <w:rsid w:val="00DB1357"/>
    <w:rsid w:val="00DD068A"/>
    <w:rsid w:val="00DE4D21"/>
    <w:rsid w:val="00DF33A7"/>
    <w:rsid w:val="00E075AE"/>
    <w:rsid w:val="00E3167B"/>
    <w:rsid w:val="00E6102D"/>
    <w:rsid w:val="00E83892"/>
    <w:rsid w:val="00E94D42"/>
    <w:rsid w:val="00ED052C"/>
    <w:rsid w:val="00EF229B"/>
    <w:rsid w:val="00F03372"/>
    <w:rsid w:val="00F211C3"/>
    <w:rsid w:val="00F34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39CC7"/>
  <w15:chartTrackingRefBased/>
  <w15:docId w15:val="{D9C7EDE0-59A9-4CBE-BFC3-4C4300AC0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001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001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769F"/>
    <w:pPr>
      <w:spacing w:after="0" w:line="240" w:lineRule="auto"/>
    </w:pPr>
  </w:style>
  <w:style w:type="paragraph" w:styleId="Header">
    <w:name w:val="header"/>
    <w:basedOn w:val="Normal"/>
    <w:link w:val="HeaderChar"/>
    <w:uiPriority w:val="99"/>
    <w:unhideWhenUsed/>
    <w:rsid w:val="00D666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66C2"/>
  </w:style>
  <w:style w:type="paragraph" w:styleId="Footer">
    <w:name w:val="footer"/>
    <w:basedOn w:val="Normal"/>
    <w:link w:val="FooterChar"/>
    <w:unhideWhenUsed/>
    <w:rsid w:val="00D666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6C2"/>
  </w:style>
  <w:style w:type="table" w:styleId="TableGrid">
    <w:name w:val="Table Grid"/>
    <w:basedOn w:val="TableNormal"/>
    <w:uiPriority w:val="59"/>
    <w:rsid w:val="00ED0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1443"/>
    <w:pPr>
      <w:ind w:left="720"/>
      <w:contextualSpacing/>
    </w:pPr>
  </w:style>
  <w:style w:type="character" w:styleId="Hyperlink">
    <w:name w:val="Hyperlink"/>
    <w:rsid w:val="009D1867"/>
    <w:rPr>
      <w:color w:val="0000FF"/>
      <w:u w:val="single"/>
    </w:rPr>
  </w:style>
  <w:style w:type="character" w:customStyle="1" w:styleId="Heading1Char">
    <w:name w:val="Heading 1 Char"/>
    <w:basedOn w:val="DefaultParagraphFont"/>
    <w:link w:val="Heading1"/>
    <w:uiPriority w:val="9"/>
    <w:rsid w:val="0060012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00127"/>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150C8F"/>
    <w:rPr>
      <w:sz w:val="16"/>
      <w:szCs w:val="16"/>
    </w:rPr>
  </w:style>
  <w:style w:type="paragraph" w:styleId="CommentText">
    <w:name w:val="annotation text"/>
    <w:basedOn w:val="Normal"/>
    <w:link w:val="CommentTextChar"/>
    <w:uiPriority w:val="99"/>
    <w:semiHidden/>
    <w:unhideWhenUsed/>
    <w:rsid w:val="00150C8F"/>
    <w:pPr>
      <w:spacing w:line="240" w:lineRule="auto"/>
    </w:pPr>
    <w:rPr>
      <w:sz w:val="20"/>
      <w:szCs w:val="20"/>
    </w:rPr>
  </w:style>
  <w:style w:type="character" w:customStyle="1" w:styleId="CommentTextChar">
    <w:name w:val="Comment Text Char"/>
    <w:basedOn w:val="DefaultParagraphFont"/>
    <w:link w:val="CommentText"/>
    <w:uiPriority w:val="99"/>
    <w:semiHidden/>
    <w:rsid w:val="00150C8F"/>
    <w:rPr>
      <w:sz w:val="20"/>
      <w:szCs w:val="20"/>
    </w:rPr>
  </w:style>
  <w:style w:type="paragraph" w:styleId="CommentSubject">
    <w:name w:val="annotation subject"/>
    <w:basedOn w:val="CommentText"/>
    <w:next w:val="CommentText"/>
    <w:link w:val="CommentSubjectChar"/>
    <w:uiPriority w:val="99"/>
    <w:semiHidden/>
    <w:unhideWhenUsed/>
    <w:rsid w:val="00150C8F"/>
    <w:rPr>
      <w:b/>
      <w:bCs/>
    </w:rPr>
  </w:style>
  <w:style w:type="character" w:customStyle="1" w:styleId="CommentSubjectChar">
    <w:name w:val="Comment Subject Char"/>
    <w:basedOn w:val="CommentTextChar"/>
    <w:link w:val="CommentSubject"/>
    <w:uiPriority w:val="99"/>
    <w:semiHidden/>
    <w:rsid w:val="00150C8F"/>
    <w:rPr>
      <w:b/>
      <w:bCs/>
      <w:sz w:val="20"/>
      <w:szCs w:val="20"/>
    </w:rPr>
  </w:style>
  <w:style w:type="paragraph" w:styleId="BalloonText">
    <w:name w:val="Balloon Text"/>
    <w:basedOn w:val="Normal"/>
    <w:link w:val="BalloonTextChar"/>
    <w:uiPriority w:val="99"/>
    <w:semiHidden/>
    <w:unhideWhenUsed/>
    <w:rsid w:val="00150C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C8F"/>
    <w:rPr>
      <w:rFonts w:ascii="Segoe UI" w:hAnsi="Segoe UI" w:cs="Segoe UI"/>
      <w:sz w:val="18"/>
      <w:szCs w:val="18"/>
    </w:rPr>
  </w:style>
  <w:style w:type="paragraph" w:styleId="Revision">
    <w:name w:val="Revision"/>
    <w:hidden/>
    <w:uiPriority w:val="99"/>
    <w:semiHidden/>
    <w:rsid w:val="00C57B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123036">
      <w:bodyDiv w:val="1"/>
      <w:marLeft w:val="0"/>
      <w:marRight w:val="0"/>
      <w:marTop w:val="0"/>
      <w:marBottom w:val="0"/>
      <w:divBdr>
        <w:top w:val="none" w:sz="0" w:space="0" w:color="auto"/>
        <w:left w:val="none" w:sz="0" w:space="0" w:color="auto"/>
        <w:bottom w:val="none" w:sz="0" w:space="0" w:color="auto"/>
        <w:right w:val="none" w:sz="0" w:space="0" w:color="auto"/>
      </w:divBdr>
    </w:div>
    <w:div w:id="839780079">
      <w:bodyDiv w:val="1"/>
      <w:marLeft w:val="0"/>
      <w:marRight w:val="0"/>
      <w:marTop w:val="0"/>
      <w:marBottom w:val="0"/>
      <w:divBdr>
        <w:top w:val="none" w:sz="0" w:space="0" w:color="auto"/>
        <w:left w:val="none" w:sz="0" w:space="0" w:color="auto"/>
        <w:bottom w:val="none" w:sz="0" w:space="0" w:color="auto"/>
        <w:right w:val="none" w:sz="0" w:space="0" w:color="auto"/>
      </w:divBdr>
    </w:div>
    <w:div w:id="1017540001">
      <w:bodyDiv w:val="1"/>
      <w:marLeft w:val="0"/>
      <w:marRight w:val="0"/>
      <w:marTop w:val="0"/>
      <w:marBottom w:val="0"/>
      <w:divBdr>
        <w:top w:val="none" w:sz="0" w:space="0" w:color="auto"/>
        <w:left w:val="none" w:sz="0" w:space="0" w:color="auto"/>
        <w:bottom w:val="none" w:sz="0" w:space="0" w:color="auto"/>
        <w:right w:val="none" w:sz="0" w:space="0" w:color="auto"/>
      </w:divBdr>
    </w:div>
    <w:div w:id="1022827807">
      <w:bodyDiv w:val="1"/>
      <w:marLeft w:val="0"/>
      <w:marRight w:val="0"/>
      <w:marTop w:val="0"/>
      <w:marBottom w:val="0"/>
      <w:divBdr>
        <w:top w:val="none" w:sz="0" w:space="0" w:color="auto"/>
        <w:left w:val="none" w:sz="0" w:space="0" w:color="auto"/>
        <w:bottom w:val="none" w:sz="0" w:space="0" w:color="auto"/>
        <w:right w:val="none" w:sz="0" w:space="0" w:color="auto"/>
      </w:divBdr>
    </w:div>
    <w:div w:id="1122573504">
      <w:bodyDiv w:val="1"/>
      <w:marLeft w:val="0"/>
      <w:marRight w:val="0"/>
      <w:marTop w:val="0"/>
      <w:marBottom w:val="0"/>
      <w:divBdr>
        <w:top w:val="none" w:sz="0" w:space="0" w:color="auto"/>
        <w:left w:val="none" w:sz="0" w:space="0" w:color="auto"/>
        <w:bottom w:val="none" w:sz="0" w:space="0" w:color="auto"/>
        <w:right w:val="none" w:sz="0" w:space="0" w:color="auto"/>
      </w:divBdr>
    </w:div>
    <w:div w:id="126564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F3695C7650444B0CB880FC308F8A6" ma:contentTypeVersion="10" ma:contentTypeDescription="Create a new document." ma:contentTypeScope="" ma:versionID="23512a70f720ec4aba1734c7df852699">
  <xsd:schema xmlns:xsd="http://www.w3.org/2001/XMLSchema" xmlns:xs="http://www.w3.org/2001/XMLSchema" xmlns:p="http://schemas.microsoft.com/office/2006/metadata/properties" xmlns:ns2="c8ec75c2-b801-4d96-84f6-50042ddea6c0" targetNamespace="http://schemas.microsoft.com/office/2006/metadata/properties" ma:root="true" ma:fieldsID="6b569a7b20525cb1f4080f4edd5ebf3a" ns2:_="">
    <xsd:import namespace="c8ec75c2-b801-4d96-84f6-50042ddea6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c75c2-b801-4d96-84f6-50042ddea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CAF27E-4E09-408A-B428-8EB76ED2FA99}"/>
</file>

<file path=customXml/itemProps2.xml><?xml version="1.0" encoding="utf-8"?>
<ds:datastoreItem xmlns:ds="http://schemas.openxmlformats.org/officeDocument/2006/customXml" ds:itemID="{0959D859-24A8-4C91-8971-EBD57C7F3F2C}"/>
</file>

<file path=customXml/itemProps3.xml><?xml version="1.0" encoding="utf-8"?>
<ds:datastoreItem xmlns:ds="http://schemas.openxmlformats.org/officeDocument/2006/customXml" ds:itemID="{2C05382A-7B3B-453B-BBAB-3ABE18D23371}"/>
</file>

<file path=docProps/app.xml><?xml version="1.0" encoding="utf-8"?>
<Properties xmlns="http://schemas.openxmlformats.org/officeDocument/2006/extended-properties" xmlns:vt="http://schemas.openxmlformats.org/officeDocument/2006/docPropsVTypes">
  <Template>Normal</Template>
  <TotalTime>11</TotalTime>
  <Pages>3</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London South Bank University</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Khanom, Nazmin 10</dc:creator>
  <cp:keywords/>
  <dc:description/>
  <cp:lastModifiedBy>Lambe, Simon E</cp:lastModifiedBy>
  <cp:revision>10</cp:revision>
  <cp:lastPrinted>2020-03-04T14:48:00Z</cp:lastPrinted>
  <dcterms:created xsi:type="dcterms:W3CDTF">2020-05-14T09:37:00Z</dcterms:created>
  <dcterms:modified xsi:type="dcterms:W3CDTF">2020-06-25T11:38:00Z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0x010100DD4F3695C7650444B0CB880FC308F8A6</vt:lpwstr>
  </property>
</Properties>
</file>